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835" w:rsidRDefault="00E50835"/>
    <w:p w:rsidR="003C2109" w:rsidRDefault="003C2109"/>
    <w:p w:rsidR="003C2109" w:rsidRDefault="003C2109">
      <w:r>
        <w:rPr>
          <w:noProof/>
        </w:rPr>
        <w:drawing>
          <wp:inline distT="0" distB="0" distL="0" distR="0">
            <wp:extent cx="6119284" cy="7334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144448" cy="736441"/>
                    </a:xfrm>
                    <a:prstGeom prst="rect">
                      <a:avLst/>
                    </a:prstGeom>
                    <a:noFill/>
                    <a:ln w="9525">
                      <a:noFill/>
                      <a:miter lim="800000"/>
                      <a:headEnd/>
                      <a:tailEnd/>
                    </a:ln>
                  </pic:spPr>
                </pic:pic>
              </a:graphicData>
            </a:graphic>
          </wp:inline>
        </w:drawing>
      </w:r>
    </w:p>
    <w:p w:rsidR="003C2109" w:rsidRDefault="003C2109" w:rsidP="003C2109">
      <w:pPr>
        <w:pStyle w:val="Default"/>
        <w:spacing w:line="480" w:lineRule="auto"/>
        <w:rPr>
          <w:sz w:val="23"/>
          <w:szCs w:val="23"/>
        </w:rPr>
      </w:pPr>
      <w:r>
        <w:rPr>
          <w:b/>
          <w:bCs/>
          <w:sz w:val="23"/>
          <w:szCs w:val="23"/>
        </w:rPr>
        <w:t xml:space="preserve">Lamar University – M.Ed. in Educational Technology Leadership </w:t>
      </w:r>
    </w:p>
    <w:p w:rsidR="003C2109" w:rsidRDefault="003C2109" w:rsidP="003C2109">
      <w:pPr>
        <w:spacing w:line="480" w:lineRule="auto"/>
        <w:rPr>
          <w:b/>
          <w:bCs/>
          <w:sz w:val="23"/>
          <w:szCs w:val="23"/>
        </w:rPr>
      </w:pPr>
      <w:r>
        <w:rPr>
          <w:b/>
          <w:bCs/>
          <w:sz w:val="23"/>
          <w:szCs w:val="23"/>
        </w:rPr>
        <w:t>Reflections of ITSE Standards</w:t>
      </w:r>
    </w:p>
    <w:tbl>
      <w:tblPr>
        <w:tblStyle w:val="TableGrid"/>
        <w:tblW w:w="0" w:type="auto"/>
        <w:tblLook w:val="04A0"/>
      </w:tblPr>
      <w:tblGrid>
        <w:gridCol w:w="3192"/>
        <w:gridCol w:w="3192"/>
        <w:gridCol w:w="3192"/>
      </w:tblGrid>
      <w:tr w:rsidR="003C2109" w:rsidTr="003C2109">
        <w:tc>
          <w:tcPr>
            <w:tcW w:w="3192" w:type="dxa"/>
          </w:tcPr>
          <w:p w:rsidR="003C2109" w:rsidRDefault="003C2109" w:rsidP="003C2109">
            <w:pPr>
              <w:spacing w:line="480" w:lineRule="auto"/>
              <w:rPr>
                <w:b/>
                <w:bCs/>
                <w:sz w:val="23"/>
                <w:szCs w:val="23"/>
              </w:rPr>
            </w:pPr>
            <w:r>
              <w:rPr>
                <w:b/>
                <w:bCs/>
                <w:sz w:val="23"/>
                <w:szCs w:val="23"/>
              </w:rPr>
              <w:t>Course Number:</w:t>
            </w:r>
          </w:p>
        </w:tc>
        <w:tc>
          <w:tcPr>
            <w:tcW w:w="3192" w:type="dxa"/>
          </w:tcPr>
          <w:p w:rsidR="003C2109" w:rsidRDefault="003C2109" w:rsidP="003C2109">
            <w:pPr>
              <w:spacing w:line="480" w:lineRule="auto"/>
              <w:rPr>
                <w:b/>
                <w:bCs/>
                <w:sz w:val="23"/>
                <w:szCs w:val="23"/>
              </w:rPr>
            </w:pPr>
            <w:r>
              <w:rPr>
                <w:b/>
                <w:bCs/>
                <w:sz w:val="23"/>
                <w:szCs w:val="23"/>
              </w:rPr>
              <w:t>Course Name:</w:t>
            </w:r>
          </w:p>
        </w:tc>
        <w:tc>
          <w:tcPr>
            <w:tcW w:w="3192" w:type="dxa"/>
          </w:tcPr>
          <w:p w:rsidR="003C2109" w:rsidRDefault="003C2109" w:rsidP="003C2109">
            <w:pPr>
              <w:spacing w:line="480" w:lineRule="auto"/>
              <w:rPr>
                <w:b/>
                <w:bCs/>
                <w:sz w:val="23"/>
                <w:szCs w:val="23"/>
              </w:rPr>
            </w:pPr>
            <w:r>
              <w:rPr>
                <w:b/>
                <w:bCs/>
                <w:sz w:val="23"/>
                <w:szCs w:val="23"/>
              </w:rPr>
              <w:t>ITSE Standard</w:t>
            </w:r>
          </w:p>
        </w:tc>
      </w:tr>
      <w:tr w:rsidR="003C2109" w:rsidTr="003C2109">
        <w:tc>
          <w:tcPr>
            <w:tcW w:w="3192" w:type="dxa"/>
          </w:tcPr>
          <w:p w:rsidR="003C2109" w:rsidRDefault="003C2109" w:rsidP="003C2109">
            <w:pPr>
              <w:spacing w:line="480" w:lineRule="auto"/>
              <w:rPr>
                <w:b/>
                <w:bCs/>
                <w:sz w:val="23"/>
                <w:szCs w:val="23"/>
              </w:rPr>
            </w:pPr>
            <w:r>
              <w:rPr>
                <w:b/>
                <w:bCs/>
                <w:sz w:val="23"/>
                <w:szCs w:val="23"/>
              </w:rPr>
              <w:t>EDLD 5370 ET5398</w:t>
            </w:r>
          </w:p>
        </w:tc>
        <w:tc>
          <w:tcPr>
            <w:tcW w:w="3192" w:type="dxa"/>
          </w:tcPr>
          <w:p w:rsidR="003C2109" w:rsidRDefault="003C2109" w:rsidP="003C2109">
            <w:pPr>
              <w:rPr>
                <w:b/>
                <w:bCs/>
                <w:sz w:val="23"/>
                <w:szCs w:val="23"/>
              </w:rPr>
            </w:pPr>
            <w:r>
              <w:rPr>
                <w:b/>
                <w:bCs/>
                <w:sz w:val="23"/>
                <w:szCs w:val="23"/>
              </w:rPr>
              <w:t>Educational Technology Leadership Internship</w:t>
            </w:r>
          </w:p>
        </w:tc>
        <w:tc>
          <w:tcPr>
            <w:tcW w:w="3192" w:type="dxa"/>
          </w:tcPr>
          <w:p w:rsidR="003C2109" w:rsidRDefault="003C2109" w:rsidP="00B62F9B">
            <w:pPr>
              <w:rPr>
                <w:b/>
                <w:bCs/>
                <w:sz w:val="23"/>
                <w:szCs w:val="23"/>
              </w:rPr>
            </w:pPr>
            <w:r>
              <w:rPr>
                <w:b/>
                <w:bCs/>
                <w:sz w:val="23"/>
                <w:szCs w:val="23"/>
              </w:rPr>
              <w:t>Standard I</w:t>
            </w:r>
            <w:r w:rsidR="00B62F9B">
              <w:rPr>
                <w:b/>
                <w:bCs/>
                <w:sz w:val="23"/>
                <w:szCs w:val="23"/>
              </w:rPr>
              <w:t>II</w:t>
            </w:r>
            <w:r>
              <w:rPr>
                <w:b/>
                <w:bCs/>
                <w:sz w:val="23"/>
                <w:szCs w:val="23"/>
              </w:rPr>
              <w:t xml:space="preserve"> – </w:t>
            </w:r>
            <w:r w:rsidR="00B62F9B" w:rsidRPr="00B62F9B">
              <w:rPr>
                <w:rFonts w:cstheme="minorHAnsi"/>
                <w:b/>
              </w:rPr>
              <w:t>Teaching Learning, and the Curriculum</w:t>
            </w:r>
          </w:p>
        </w:tc>
      </w:tr>
    </w:tbl>
    <w:p w:rsidR="003C2109" w:rsidRDefault="003C2109" w:rsidP="003C2109">
      <w:pPr>
        <w:spacing w:line="480" w:lineRule="auto"/>
        <w:rPr>
          <w:b/>
          <w:bCs/>
          <w:sz w:val="23"/>
          <w:szCs w:val="23"/>
        </w:rPr>
      </w:pPr>
    </w:p>
    <w:tbl>
      <w:tblPr>
        <w:tblStyle w:val="TableGrid"/>
        <w:tblW w:w="0" w:type="auto"/>
        <w:tblLayout w:type="fixed"/>
        <w:tblLook w:val="04A0"/>
      </w:tblPr>
      <w:tblGrid>
        <w:gridCol w:w="2898"/>
        <w:gridCol w:w="6678"/>
      </w:tblGrid>
      <w:tr w:rsidR="003C2109" w:rsidTr="00B62F9B">
        <w:tc>
          <w:tcPr>
            <w:tcW w:w="2898" w:type="dxa"/>
          </w:tcPr>
          <w:p w:rsidR="003C2109" w:rsidRPr="003C2109" w:rsidRDefault="003C2109" w:rsidP="003C2109">
            <w:pPr>
              <w:pStyle w:val="Default"/>
              <w:rPr>
                <w:rFonts w:asciiTheme="minorHAnsi" w:hAnsiTheme="minorHAnsi" w:cstheme="minorHAnsi"/>
                <w:b/>
              </w:rPr>
            </w:pPr>
            <w:r>
              <w:rPr>
                <w:rFonts w:asciiTheme="minorHAnsi" w:hAnsiTheme="minorHAnsi" w:cstheme="minorHAnsi"/>
                <w:b/>
              </w:rPr>
              <w:t>Desc</w:t>
            </w:r>
            <w:r w:rsidRPr="003C2109">
              <w:rPr>
                <w:rFonts w:asciiTheme="minorHAnsi" w:hAnsiTheme="minorHAnsi" w:cstheme="minorHAnsi"/>
                <w:b/>
              </w:rPr>
              <w:t>ription of the Assignment/Performance</w:t>
            </w:r>
          </w:p>
          <w:p w:rsidR="003C2109" w:rsidRDefault="003C2109" w:rsidP="003C2109">
            <w:pPr>
              <w:pStyle w:val="Default"/>
              <w:rPr>
                <w:b/>
                <w:bCs/>
                <w:sz w:val="23"/>
                <w:szCs w:val="23"/>
              </w:rPr>
            </w:pPr>
            <w:r w:rsidRPr="003C2109">
              <w:rPr>
                <w:rFonts w:asciiTheme="minorHAnsi" w:hAnsiTheme="minorHAnsi" w:cstheme="minorHAnsi"/>
                <w:b/>
              </w:rPr>
              <w:t>Tasks</w:t>
            </w:r>
          </w:p>
        </w:tc>
        <w:tc>
          <w:tcPr>
            <w:tcW w:w="6678" w:type="dxa"/>
          </w:tcPr>
          <w:p w:rsidR="003C2109" w:rsidRPr="003C2109" w:rsidRDefault="003C2109" w:rsidP="003C2109">
            <w:pPr>
              <w:pStyle w:val="Default"/>
              <w:rPr>
                <w:rFonts w:asciiTheme="minorHAnsi" w:hAnsiTheme="minorHAnsi" w:cstheme="minorHAnsi"/>
                <w:b/>
                <w:sz w:val="22"/>
                <w:szCs w:val="22"/>
              </w:rPr>
            </w:pPr>
            <w:r w:rsidRPr="003C2109">
              <w:rPr>
                <w:rFonts w:asciiTheme="minorHAnsi" w:hAnsiTheme="minorHAnsi" w:cstheme="minorHAnsi"/>
                <w:b/>
                <w:sz w:val="22"/>
                <w:szCs w:val="22"/>
              </w:rPr>
              <w:t>ITSE Standard:</w:t>
            </w:r>
          </w:p>
          <w:p w:rsidR="003C2109" w:rsidRDefault="003C2109" w:rsidP="003C2109">
            <w:pPr>
              <w:pStyle w:val="Default"/>
              <w:rPr>
                <w:b/>
                <w:bCs/>
                <w:sz w:val="23"/>
                <w:szCs w:val="23"/>
              </w:rPr>
            </w:pPr>
            <w:r w:rsidRPr="003C2109">
              <w:rPr>
                <w:rFonts w:asciiTheme="minorHAnsi" w:hAnsiTheme="minorHAnsi" w:cstheme="minorHAnsi"/>
                <w:b/>
                <w:sz w:val="22"/>
                <w:szCs w:val="22"/>
              </w:rPr>
              <w:t>Educational Technology facilitators demonstrate an in-depth understanding of technology operations and concepts.</w:t>
            </w:r>
          </w:p>
        </w:tc>
      </w:tr>
      <w:tr w:rsidR="003C2109" w:rsidTr="00B62F9B">
        <w:tc>
          <w:tcPr>
            <w:tcW w:w="2898" w:type="dxa"/>
          </w:tcPr>
          <w:p w:rsidR="007C0338" w:rsidRPr="005A458A" w:rsidRDefault="007C0338" w:rsidP="007C0338">
            <w:pPr>
              <w:ind w:left="162"/>
            </w:pP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7C0338" w:rsidRPr="005A458A" w:rsidRDefault="007C0338" w:rsidP="007C0338">
            <w:pPr>
              <w:ind w:left="162"/>
              <w:rPr>
                <w:b/>
                <w:bCs/>
                <w:sz w:val="20"/>
                <w:szCs w:val="20"/>
              </w:rPr>
            </w:pPr>
            <w:r w:rsidRPr="005A458A">
              <w:rPr>
                <w:b/>
                <w:bCs/>
                <w:sz w:val="20"/>
                <w:szCs w:val="20"/>
              </w:rPr>
              <w:t>Self –Assessment</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 xml:space="preserve">2. Critically reflect upon the relationship between any new information you gained </w:t>
            </w:r>
            <w:r w:rsidRPr="005A458A">
              <w:rPr>
                <w:bCs/>
                <w:sz w:val="20"/>
                <w:szCs w:val="20"/>
              </w:rPr>
              <w:lastRenderedPageBreak/>
              <w:t>from the assignment with old information you previously held to be true.</w:t>
            </w:r>
            <w:r>
              <w:rPr>
                <w:bCs/>
                <w:sz w:val="20"/>
                <w:szCs w:val="20"/>
              </w:rPr>
              <w:t xml:space="preserve"> </w:t>
            </w:r>
            <w:r w:rsidRPr="005A458A">
              <w:rPr>
                <w:bCs/>
                <w:sz w:val="20"/>
                <w:szCs w:val="20"/>
              </w:rPr>
              <w:t>(2 Points)</w:t>
            </w:r>
          </w:p>
          <w:p w:rsidR="007C0338" w:rsidRPr="005A458A" w:rsidRDefault="007C0338" w:rsidP="007C0338">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7C0338" w:rsidRPr="005A458A" w:rsidRDefault="007C0338" w:rsidP="007C0338">
            <w:pPr>
              <w:ind w:left="162"/>
              <w:rPr>
                <w:bCs/>
                <w:sz w:val="20"/>
                <w:szCs w:val="20"/>
              </w:rPr>
            </w:pPr>
          </w:p>
          <w:p w:rsidR="007C0338" w:rsidRPr="005A458A" w:rsidRDefault="007C0338" w:rsidP="007C0338">
            <w:pPr>
              <w:ind w:left="162"/>
              <w:rPr>
                <w:b/>
                <w:bCs/>
                <w:sz w:val="20"/>
                <w:szCs w:val="20"/>
              </w:rPr>
            </w:pPr>
            <w:r w:rsidRPr="005A458A">
              <w:rPr>
                <w:b/>
                <w:bCs/>
                <w:sz w:val="20"/>
                <w:szCs w:val="20"/>
              </w:rPr>
              <w:t>Learn as a Learner</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your approach and strategies used in completing the assignment.</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7C0338" w:rsidRPr="005A458A" w:rsidRDefault="007C0338" w:rsidP="007C0338">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7C0338" w:rsidRPr="005A458A" w:rsidRDefault="007C0338" w:rsidP="007C0338">
            <w:pPr>
              <w:ind w:left="162"/>
              <w:rPr>
                <w:bCs/>
                <w:sz w:val="20"/>
                <w:szCs w:val="20"/>
              </w:rPr>
            </w:pPr>
          </w:p>
          <w:p w:rsidR="007C0338" w:rsidRPr="00CB6403" w:rsidRDefault="007C0338" w:rsidP="007C0338">
            <w:pPr>
              <w:ind w:left="162"/>
              <w:rPr>
                <w:b/>
                <w:bCs/>
                <w:sz w:val="20"/>
                <w:szCs w:val="20"/>
              </w:rPr>
            </w:pPr>
            <w:r w:rsidRPr="00CB6403">
              <w:rPr>
                <w:b/>
                <w:bCs/>
                <w:sz w:val="20"/>
                <w:szCs w:val="20"/>
              </w:rPr>
              <w:t>Lifelong Learning Skills</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7C0338" w:rsidRPr="005A458A" w:rsidRDefault="007C0338" w:rsidP="007C0338">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7C0338" w:rsidRPr="005A458A" w:rsidRDefault="007C0338" w:rsidP="007C0338">
            <w:pPr>
              <w:ind w:left="162"/>
              <w:rPr>
                <w:bCs/>
                <w:sz w:val="20"/>
                <w:szCs w:val="20"/>
              </w:rPr>
            </w:pPr>
          </w:p>
          <w:p w:rsidR="007C0338" w:rsidRPr="00CB6403" w:rsidRDefault="007C0338" w:rsidP="007C0338">
            <w:pPr>
              <w:ind w:left="162"/>
              <w:rPr>
                <w:b/>
                <w:bCs/>
                <w:sz w:val="20"/>
                <w:szCs w:val="20"/>
              </w:rPr>
            </w:pPr>
            <w:r w:rsidRPr="00CB6403">
              <w:rPr>
                <w:b/>
                <w:bCs/>
                <w:sz w:val="20"/>
                <w:szCs w:val="20"/>
              </w:rPr>
              <w:t>Additional Criteria</w:t>
            </w:r>
          </w:p>
          <w:p w:rsidR="007C0338" w:rsidRPr="005A458A" w:rsidRDefault="007C0338" w:rsidP="007C0338">
            <w:pPr>
              <w:ind w:left="342" w:hanging="180"/>
              <w:rPr>
                <w:bCs/>
                <w:sz w:val="20"/>
                <w:szCs w:val="20"/>
              </w:rPr>
            </w:pPr>
            <w:r w:rsidRPr="005A458A">
              <w:rPr>
                <w:bCs/>
                <w:sz w:val="20"/>
                <w:szCs w:val="20"/>
              </w:rPr>
              <w:t xml:space="preserve">1. Content posted to e-Portfolio wiki/blog/Google </w:t>
            </w:r>
            <w:r w:rsidRPr="005A458A">
              <w:rPr>
                <w:bCs/>
                <w:sz w:val="20"/>
                <w:szCs w:val="20"/>
              </w:rPr>
              <w:lastRenderedPageBreak/>
              <w:t>site</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t>2. Mechanics</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7C0338" w:rsidRPr="007C0338" w:rsidRDefault="007C0338" w:rsidP="007C0338">
            <w:pPr>
              <w:spacing w:before="100" w:beforeAutospacing="1" w:after="100" w:afterAutospacing="1"/>
              <w:outlineLvl w:val="2"/>
              <w:rPr>
                <w:rFonts w:ascii="Arial" w:eastAsia="Times New Roman" w:hAnsi="Arial" w:cs="Arial"/>
                <w:b/>
                <w:bCs/>
                <w:sz w:val="27"/>
                <w:szCs w:val="27"/>
              </w:rPr>
            </w:pPr>
          </w:p>
          <w:p w:rsidR="003C2109" w:rsidRDefault="003C2109" w:rsidP="003C2109">
            <w:pPr>
              <w:spacing w:line="480" w:lineRule="auto"/>
              <w:rPr>
                <w:b/>
                <w:bCs/>
                <w:sz w:val="23"/>
                <w:szCs w:val="23"/>
              </w:rPr>
            </w:pPr>
          </w:p>
        </w:tc>
        <w:tc>
          <w:tcPr>
            <w:tcW w:w="6678" w:type="dxa"/>
          </w:tcPr>
          <w:p w:rsidR="003C2109" w:rsidRDefault="003C2109" w:rsidP="003C2109">
            <w:pPr>
              <w:pStyle w:val="Default"/>
            </w:pPr>
          </w:p>
          <w:p w:rsidR="00B62F9B" w:rsidRPr="00595D43" w:rsidRDefault="00B62F9B" w:rsidP="00B62F9B">
            <w:pPr>
              <w:spacing w:line="480" w:lineRule="auto"/>
              <w:rPr>
                <w:rFonts w:ascii="Arial" w:hAnsi="Arial" w:cs="Arial"/>
              </w:rPr>
            </w:pPr>
            <w:r w:rsidRPr="00471185">
              <w:rPr>
                <w:rFonts w:ascii="Arial" w:hAnsi="Arial" w:cs="Arial"/>
                <w:u w:val="single"/>
              </w:rPr>
              <w:t>Self-Assessment</w:t>
            </w:r>
            <w:r>
              <w:rPr>
                <w:rFonts w:ascii="Arial" w:hAnsi="Arial" w:cs="Arial"/>
              </w:rPr>
              <w:t xml:space="preserve">:  According to Standard III Teaching, Learning, and the Curriculum TF-III.C, I assisted in training teachers in utilizing the </w:t>
            </w:r>
            <w:proofErr w:type="spellStart"/>
            <w:r>
              <w:rPr>
                <w:rFonts w:ascii="Arial" w:hAnsi="Arial" w:cs="Arial"/>
              </w:rPr>
              <w:t>KuderNavigator</w:t>
            </w:r>
            <w:proofErr w:type="spellEnd"/>
            <w:r>
              <w:rPr>
                <w:rFonts w:ascii="Arial" w:hAnsi="Arial" w:cs="Arial"/>
              </w:rPr>
              <w:t xml:space="preserve"> system and allowing student to use problem solving methods to discover college and career assessment and goals.  </w:t>
            </w:r>
            <w:proofErr w:type="spellStart"/>
            <w:r>
              <w:rPr>
                <w:rFonts w:ascii="Arial" w:hAnsi="Arial" w:cs="Arial"/>
              </w:rPr>
              <w:t>KuderNavigator</w:t>
            </w:r>
            <w:proofErr w:type="spellEnd"/>
            <w:r>
              <w:rPr>
                <w:rFonts w:ascii="Arial" w:hAnsi="Arial" w:cs="Arial"/>
              </w:rPr>
              <w:t xml:space="preserve"> Career Assessment Testing is utilized in assisting student in problem solving and discovering possible college and career goals that they have an aptitude for.  </w:t>
            </w:r>
            <w:proofErr w:type="spellStart"/>
            <w:r>
              <w:rPr>
                <w:rFonts w:ascii="Arial" w:hAnsi="Arial" w:cs="Arial"/>
              </w:rPr>
              <w:t>KuderNavigator</w:t>
            </w:r>
            <w:proofErr w:type="spellEnd"/>
            <w:r>
              <w:rPr>
                <w:rFonts w:ascii="Arial" w:hAnsi="Arial" w:cs="Arial"/>
              </w:rPr>
              <w:t xml:space="preserve"> assessment is also utilized in our district for our special education students that have diverse learning needs.  “Schools seem to be falling short of meeting the learning needs of digital-age learners” (</w:t>
            </w:r>
            <w:r>
              <w:rPr>
                <w:rStyle w:val="ft"/>
                <w:rFonts w:ascii="Arial" w:hAnsi="Arial" w:cs="Arial"/>
              </w:rPr>
              <w:t xml:space="preserve">Williamson, J. &amp; Redish, R., 2009, p. 59).  Our students may not be ready for the real </w:t>
            </w:r>
            <w:r>
              <w:rPr>
                <w:rStyle w:val="ft"/>
                <w:rFonts w:ascii="Arial" w:hAnsi="Arial" w:cs="Arial"/>
              </w:rPr>
              <w:lastRenderedPageBreak/>
              <w:t xml:space="preserve">world.  We feel that by accessing the </w:t>
            </w:r>
            <w:proofErr w:type="spellStart"/>
            <w:r>
              <w:rPr>
                <w:rStyle w:val="ft"/>
                <w:rFonts w:ascii="Arial" w:hAnsi="Arial" w:cs="Arial"/>
              </w:rPr>
              <w:t>KuderNavigator</w:t>
            </w:r>
            <w:proofErr w:type="spellEnd"/>
            <w:r>
              <w:rPr>
                <w:rStyle w:val="ft"/>
                <w:rFonts w:ascii="Arial" w:hAnsi="Arial" w:cs="Arial"/>
              </w:rPr>
              <w:t xml:space="preserve"> and beginning to get an idea of what careers that the students might have a higher aptitude will better prepare them for the real world and the future workplace.</w:t>
            </w:r>
          </w:p>
          <w:p w:rsidR="00B62F9B" w:rsidRDefault="00B62F9B" w:rsidP="00B62F9B">
            <w:pPr>
              <w:spacing w:line="480" w:lineRule="auto"/>
              <w:ind w:left="72"/>
              <w:rPr>
                <w:rFonts w:ascii="Arial" w:hAnsi="Arial" w:cs="Arial"/>
              </w:rPr>
            </w:pPr>
          </w:p>
          <w:p w:rsidR="00B62F9B" w:rsidRDefault="00B62F9B" w:rsidP="00B62F9B">
            <w:pPr>
              <w:spacing w:line="480" w:lineRule="auto"/>
              <w:ind w:left="72"/>
              <w:rPr>
                <w:rFonts w:ascii="Arial" w:hAnsi="Arial" w:cs="Arial"/>
              </w:rPr>
            </w:pPr>
          </w:p>
          <w:p w:rsidR="00B62F9B" w:rsidRPr="00E01021" w:rsidRDefault="00B62F9B" w:rsidP="00B62F9B">
            <w:pPr>
              <w:spacing w:line="480" w:lineRule="auto"/>
              <w:rPr>
                <w:rFonts w:ascii="Arial" w:hAnsi="Arial" w:cs="Arial"/>
              </w:rPr>
            </w:pPr>
            <w:r w:rsidRPr="00471185">
              <w:rPr>
                <w:rFonts w:ascii="Arial" w:hAnsi="Arial" w:cs="Arial"/>
                <w:u w:val="single"/>
              </w:rPr>
              <w:t>Learn as a Learner</w:t>
            </w:r>
            <w:r>
              <w:rPr>
                <w:rFonts w:ascii="Arial" w:hAnsi="Arial" w:cs="Arial"/>
              </w:rPr>
              <w:t xml:space="preserve">:  We assess these students by allowing them to take the interest and skills assessments on </w:t>
            </w:r>
            <w:proofErr w:type="spellStart"/>
            <w:r>
              <w:rPr>
                <w:rFonts w:ascii="Arial" w:hAnsi="Arial" w:cs="Arial"/>
              </w:rPr>
              <w:t>KuderNavigator</w:t>
            </w:r>
            <w:proofErr w:type="spellEnd"/>
            <w:r>
              <w:rPr>
                <w:rFonts w:ascii="Arial" w:hAnsi="Arial" w:cs="Arial"/>
              </w:rPr>
              <w:t xml:space="preserve"> and this data is utilized in their ARD meetings for better placement in core classes as well as elective class selections.  Many times it is difficult to know what students have a higher aptitude for.  By allowing student to take the online </w:t>
            </w:r>
            <w:proofErr w:type="spellStart"/>
            <w:r>
              <w:rPr>
                <w:rFonts w:ascii="Arial" w:hAnsi="Arial" w:cs="Arial"/>
              </w:rPr>
              <w:t>KuderNavigator</w:t>
            </w:r>
            <w:proofErr w:type="spellEnd"/>
            <w:r>
              <w:rPr>
                <w:rFonts w:ascii="Arial" w:hAnsi="Arial" w:cs="Arial"/>
              </w:rPr>
              <w:t xml:space="preserve"> interest and skills assessments, the students answer questions to both surveys.  At the conclusion of both surveys, students are able to see the results of these surveys in the form of a list of career options that they might be best suited for.  They have a graph list of approximately ten career options that they can click on and access videos about possible career / job opportunities, college, and classes that they might be best suited for</w:t>
            </w:r>
            <w:r w:rsidRPr="00E01021">
              <w:rPr>
                <w:rFonts w:ascii="Arial" w:hAnsi="Arial" w:cs="Arial"/>
              </w:rPr>
              <w:t>.  “The workplace, jobs, and skill demands are changing.  Today, every student, whether he/she plans to go directly into the workforce or on to a 4-year college or trade school, requires 21</w:t>
            </w:r>
            <w:r w:rsidRPr="00E01021">
              <w:rPr>
                <w:rFonts w:ascii="Arial" w:hAnsi="Arial" w:cs="Arial"/>
                <w:vertAlign w:val="superscript"/>
              </w:rPr>
              <w:t>st</w:t>
            </w:r>
            <w:r w:rsidRPr="00E01021">
              <w:rPr>
                <w:rFonts w:ascii="Arial" w:hAnsi="Arial" w:cs="Arial"/>
              </w:rPr>
              <w:t xml:space="preserve">-century skills to succeed.  We need to ensure that all students are qualified to succeed in work and life in this new global economy” (Solomon, G., &amp; Schrum, L. 12). </w:t>
            </w:r>
          </w:p>
          <w:p w:rsidR="00B62F9B" w:rsidRPr="00E01021" w:rsidRDefault="00B62F9B" w:rsidP="00B62F9B">
            <w:pPr>
              <w:spacing w:line="480" w:lineRule="auto"/>
              <w:ind w:left="72"/>
              <w:rPr>
                <w:rFonts w:ascii="Arial" w:hAnsi="Arial" w:cs="Arial"/>
              </w:rPr>
            </w:pPr>
          </w:p>
          <w:p w:rsidR="00B62F9B" w:rsidRDefault="00B62F9B" w:rsidP="00B62F9B">
            <w:pPr>
              <w:spacing w:line="480" w:lineRule="auto"/>
              <w:ind w:left="72"/>
              <w:rPr>
                <w:rFonts w:ascii="Arial" w:hAnsi="Arial" w:cs="Arial"/>
              </w:rPr>
            </w:pPr>
          </w:p>
          <w:p w:rsidR="00B62F9B" w:rsidRPr="008F07C1" w:rsidRDefault="00B62F9B" w:rsidP="00B62F9B">
            <w:pPr>
              <w:spacing w:line="480" w:lineRule="auto"/>
              <w:ind w:left="72"/>
              <w:rPr>
                <w:rFonts w:ascii="Arial" w:hAnsi="Arial" w:cs="Arial"/>
              </w:rPr>
            </w:pPr>
            <w:r w:rsidRPr="00471185">
              <w:rPr>
                <w:rFonts w:ascii="Arial" w:hAnsi="Arial" w:cs="Arial"/>
                <w:u w:val="single"/>
              </w:rPr>
              <w:t>Lifelong Learning Skills</w:t>
            </w:r>
            <w:r>
              <w:rPr>
                <w:rFonts w:ascii="Arial" w:hAnsi="Arial" w:cs="Arial"/>
              </w:rPr>
              <w:t xml:space="preserve">:  This allows students to better select classes that will assist them at the high school and college levels for best placement.  Students can meet with counselors before registering for high school classes, career center options, and even college class placements.  There are videos on this site available to students and also information about class placement with career goals.  Students can also access this information online in the home environment along with parents /guardians to discuss possible college, technical school, and career options.  These assessments are done throughout the year to assure that diverse learning students and all other students are tested to better place students in the best classroom environment, electives, and core curriculum areas.  </w:t>
            </w:r>
            <w:r w:rsidRPr="008F07C1">
              <w:rPr>
                <w:rFonts w:ascii="Arial" w:eastAsia="Times New Roman" w:hAnsi="Arial" w:cs="Arial"/>
                <w:shd w:val="clear" w:color="auto" w:fill="FFFFFF"/>
              </w:rPr>
              <w:t xml:space="preserve">  “</w:t>
            </w:r>
            <w:r w:rsidRPr="008F07C1">
              <w:rPr>
                <w:rFonts w:ascii="Arial" w:hAnsi="Arial" w:cs="Arial"/>
              </w:rPr>
              <w:t>With access to online research communities, learners are able to gain a deeper sense of a discipline as a special “culture” shaped by specific ways of seeing and interpreting the world” (</w:t>
            </w:r>
            <w:proofErr w:type="spellStart"/>
            <w:r w:rsidRPr="008F07C1">
              <w:rPr>
                <w:rFonts w:ascii="Arial" w:hAnsi="Arial" w:cs="Arial"/>
              </w:rPr>
              <w:t>Educause</w:t>
            </w:r>
            <w:proofErr w:type="spellEnd"/>
            <w:r w:rsidRPr="008F07C1">
              <w:rPr>
                <w:rFonts w:ascii="Arial" w:hAnsi="Arial" w:cs="Arial"/>
              </w:rPr>
              <w:t xml:space="preserve">, 2007).  </w:t>
            </w:r>
            <w:r>
              <w:rPr>
                <w:rFonts w:ascii="Arial" w:hAnsi="Arial" w:cs="Arial"/>
              </w:rPr>
              <w:t xml:space="preserve">By allowing students to research their career opportunities, we are helping the students to open doors to their future.  </w:t>
            </w:r>
          </w:p>
          <w:p w:rsidR="00B62F9B" w:rsidRDefault="00B62F9B" w:rsidP="00B62F9B">
            <w:pPr>
              <w:ind w:left="72"/>
              <w:rPr>
                <w:rFonts w:ascii="Arial" w:hAnsi="Arial" w:cs="Arial"/>
              </w:rPr>
            </w:pPr>
          </w:p>
          <w:p w:rsidR="00B62F9B" w:rsidRDefault="00B62F9B" w:rsidP="00B62F9B">
            <w:pPr>
              <w:ind w:left="72"/>
              <w:rPr>
                <w:rFonts w:ascii="Arial" w:hAnsi="Arial" w:cs="Arial"/>
              </w:rPr>
            </w:pPr>
          </w:p>
          <w:p w:rsidR="00B62F9B" w:rsidRDefault="00B62F9B" w:rsidP="00B62F9B">
            <w:pPr>
              <w:ind w:left="72"/>
              <w:rPr>
                <w:rFonts w:ascii="Arial" w:hAnsi="Arial" w:cs="Arial"/>
              </w:rPr>
            </w:pPr>
          </w:p>
          <w:p w:rsidR="00B62F9B" w:rsidRDefault="00B62F9B" w:rsidP="00B62F9B">
            <w:pPr>
              <w:ind w:left="72"/>
              <w:rPr>
                <w:rFonts w:ascii="Arial" w:hAnsi="Arial" w:cs="Arial"/>
              </w:rPr>
            </w:pPr>
          </w:p>
          <w:p w:rsidR="00B62F9B" w:rsidRDefault="00B62F9B" w:rsidP="00B62F9B">
            <w:pPr>
              <w:ind w:left="72"/>
              <w:rPr>
                <w:rFonts w:ascii="Arial" w:hAnsi="Arial" w:cs="Arial"/>
              </w:rPr>
            </w:pPr>
          </w:p>
          <w:p w:rsidR="00B62F9B" w:rsidRDefault="00B62F9B" w:rsidP="00B62F9B">
            <w:pPr>
              <w:ind w:left="72"/>
              <w:rPr>
                <w:rFonts w:ascii="Arial" w:hAnsi="Arial" w:cs="Arial"/>
              </w:rPr>
            </w:pPr>
          </w:p>
          <w:p w:rsidR="00B62F9B" w:rsidRDefault="00B62F9B" w:rsidP="00B62F9B">
            <w:pPr>
              <w:ind w:left="72"/>
              <w:rPr>
                <w:rFonts w:ascii="Arial" w:hAnsi="Arial" w:cs="Arial"/>
              </w:rPr>
            </w:pPr>
          </w:p>
          <w:p w:rsidR="00B62F9B" w:rsidRPr="008F07C1" w:rsidRDefault="00B62F9B" w:rsidP="00B62F9B">
            <w:pPr>
              <w:ind w:left="72"/>
              <w:rPr>
                <w:rFonts w:ascii="Arial" w:hAnsi="Arial" w:cs="Arial"/>
              </w:rPr>
            </w:pPr>
          </w:p>
          <w:p w:rsidR="00B62F9B" w:rsidRDefault="00B62F9B" w:rsidP="00B62F9B">
            <w:pPr>
              <w:ind w:left="55"/>
              <w:jc w:val="center"/>
              <w:rPr>
                <w:rFonts w:ascii="Arial" w:hAnsi="Arial" w:cs="Arial"/>
              </w:rPr>
            </w:pPr>
          </w:p>
          <w:p w:rsidR="00B62F9B" w:rsidRDefault="00B62F9B" w:rsidP="00B62F9B">
            <w:pPr>
              <w:ind w:left="55"/>
              <w:jc w:val="center"/>
              <w:rPr>
                <w:rFonts w:ascii="Arial" w:hAnsi="Arial" w:cs="Arial"/>
              </w:rPr>
            </w:pPr>
          </w:p>
          <w:p w:rsidR="00B62F9B" w:rsidRDefault="00B62F9B" w:rsidP="00B62F9B">
            <w:pPr>
              <w:ind w:left="55"/>
              <w:jc w:val="center"/>
              <w:rPr>
                <w:rFonts w:ascii="Arial" w:hAnsi="Arial" w:cs="Arial"/>
              </w:rPr>
            </w:pPr>
          </w:p>
          <w:p w:rsidR="00B62F9B" w:rsidRDefault="00B62F9B" w:rsidP="00B62F9B">
            <w:pPr>
              <w:ind w:left="55"/>
              <w:jc w:val="center"/>
              <w:rPr>
                <w:rFonts w:ascii="Arial" w:hAnsi="Arial" w:cs="Arial"/>
              </w:rPr>
            </w:pPr>
          </w:p>
          <w:p w:rsidR="00B62F9B" w:rsidRDefault="00B62F9B" w:rsidP="00B62F9B">
            <w:pPr>
              <w:ind w:left="55"/>
              <w:jc w:val="center"/>
              <w:rPr>
                <w:rFonts w:ascii="Arial" w:hAnsi="Arial" w:cs="Arial"/>
              </w:rPr>
            </w:pPr>
          </w:p>
          <w:p w:rsidR="00B62F9B" w:rsidRDefault="00B62F9B" w:rsidP="00B62F9B">
            <w:pPr>
              <w:ind w:left="55"/>
              <w:jc w:val="center"/>
              <w:rPr>
                <w:rFonts w:ascii="Arial" w:hAnsi="Arial" w:cs="Arial"/>
              </w:rPr>
            </w:pPr>
          </w:p>
          <w:p w:rsidR="00B62F9B" w:rsidRDefault="00B62F9B" w:rsidP="00B62F9B">
            <w:pPr>
              <w:ind w:left="55"/>
              <w:jc w:val="center"/>
              <w:rPr>
                <w:rFonts w:ascii="Arial" w:hAnsi="Arial" w:cs="Arial"/>
              </w:rPr>
            </w:pPr>
          </w:p>
          <w:p w:rsidR="00B62F9B" w:rsidRDefault="00B62F9B" w:rsidP="00B62F9B">
            <w:pPr>
              <w:ind w:left="55"/>
              <w:jc w:val="center"/>
              <w:rPr>
                <w:rFonts w:ascii="Arial" w:hAnsi="Arial" w:cs="Arial"/>
              </w:rPr>
            </w:pPr>
            <w:r>
              <w:rPr>
                <w:rFonts w:ascii="Arial" w:hAnsi="Arial" w:cs="Arial"/>
              </w:rPr>
              <w:t>References</w:t>
            </w:r>
          </w:p>
          <w:p w:rsidR="00B62F9B" w:rsidRDefault="00B62F9B" w:rsidP="00B62F9B">
            <w:pPr>
              <w:ind w:left="55"/>
              <w:jc w:val="center"/>
              <w:rPr>
                <w:rFonts w:ascii="Arial" w:hAnsi="Arial" w:cs="Arial"/>
              </w:rPr>
            </w:pPr>
          </w:p>
          <w:p w:rsidR="00B62F9B" w:rsidRDefault="00B62F9B" w:rsidP="00B62F9B">
            <w:pPr>
              <w:ind w:left="55"/>
              <w:jc w:val="center"/>
              <w:rPr>
                <w:rFonts w:ascii="Arial" w:hAnsi="Arial" w:cs="Arial"/>
              </w:rPr>
            </w:pPr>
          </w:p>
          <w:p w:rsidR="00B62F9B" w:rsidRPr="008F07C1" w:rsidRDefault="00B62F9B" w:rsidP="00B62F9B">
            <w:pPr>
              <w:spacing w:line="480" w:lineRule="auto"/>
              <w:ind w:left="778" w:hanging="720"/>
              <w:rPr>
                <w:rFonts w:ascii="Arial" w:hAnsi="Arial" w:cs="Arial"/>
              </w:rPr>
            </w:pPr>
            <w:proofErr w:type="spellStart"/>
            <w:r w:rsidRPr="000F29E7">
              <w:rPr>
                <w:rFonts w:ascii="Arial" w:hAnsi="Arial" w:cs="Arial"/>
              </w:rPr>
              <w:t>Educause</w:t>
            </w:r>
            <w:proofErr w:type="spellEnd"/>
            <w:r w:rsidRPr="000F29E7">
              <w:rPr>
                <w:rFonts w:ascii="Arial" w:hAnsi="Arial" w:cs="Arial"/>
              </w:rPr>
              <w:t xml:space="preserve">, 2007.  </w:t>
            </w:r>
            <w:proofErr w:type="spellStart"/>
            <w:r w:rsidRPr="000F29E7">
              <w:rPr>
                <w:rFonts w:ascii="Arial" w:hAnsi="Arial" w:cs="Arial"/>
                <w:i/>
              </w:rPr>
              <w:t>Authenic</w:t>
            </w:r>
            <w:proofErr w:type="spellEnd"/>
            <w:r w:rsidRPr="000F29E7">
              <w:rPr>
                <w:rFonts w:ascii="Arial" w:hAnsi="Arial" w:cs="Arial"/>
                <w:i/>
              </w:rPr>
              <w:t xml:space="preserve"> Learning for the 21</w:t>
            </w:r>
            <w:r w:rsidRPr="000F29E7">
              <w:rPr>
                <w:rFonts w:ascii="Arial" w:hAnsi="Arial" w:cs="Arial"/>
                <w:i/>
                <w:vertAlign w:val="superscript"/>
              </w:rPr>
              <w:t>st</w:t>
            </w:r>
            <w:r w:rsidRPr="000F29E7">
              <w:rPr>
                <w:rFonts w:ascii="Arial" w:hAnsi="Arial" w:cs="Arial"/>
                <w:i/>
              </w:rPr>
              <w:t xml:space="preserve"> Century. </w:t>
            </w:r>
            <w:r w:rsidRPr="000F29E7">
              <w:rPr>
                <w:rFonts w:ascii="Arial" w:hAnsi="Arial" w:cs="Arial"/>
              </w:rPr>
              <w:t xml:space="preserve">Retrieved on March 4, 2012 from </w:t>
            </w:r>
            <w:hyperlink r:id="rId5" w:history="1">
              <w:r w:rsidRPr="000F29E7">
                <w:rPr>
                  <w:rStyle w:val="Hyperlink"/>
                  <w:rFonts w:ascii="Arial" w:hAnsi="Arial" w:cs="Arial"/>
                </w:rPr>
                <w:t>http://net.educause.edu/ir/library/pdf/ELI3009.pdf</w:t>
              </w:r>
            </w:hyperlink>
            <w:r>
              <w:t xml:space="preserve">, </w:t>
            </w:r>
            <w:r w:rsidRPr="008F07C1">
              <w:rPr>
                <w:rFonts w:ascii="Arial" w:hAnsi="Arial" w:cs="Arial"/>
              </w:rPr>
              <w:t xml:space="preserve">p. 1.  </w:t>
            </w:r>
          </w:p>
          <w:p w:rsidR="00B62F9B" w:rsidRDefault="00B62F9B" w:rsidP="00B62F9B">
            <w:pPr>
              <w:ind w:left="55"/>
              <w:jc w:val="center"/>
              <w:rPr>
                <w:rFonts w:ascii="Arial" w:hAnsi="Arial" w:cs="Arial"/>
              </w:rPr>
            </w:pPr>
          </w:p>
          <w:p w:rsidR="00B62F9B" w:rsidRDefault="00B62F9B" w:rsidP="00B62F9B">
            <w:pPr>
              <w:spacing w:after="100" w:line="480" w:lineRule="auto"/>
              <w:rPr>
                <w:rFonts w:ascii="Arial" w:hAnsi="Arial" w:cs="Arial"/>
              </w:rPr>
            </w:pPr>
            <w:r w:rsidRPr="00D4354D">
              <w:rPr>
                <w:rFonts w:ascii="Arial" w:hAnsi="Arial" w:cs="Arial"/>
              </w:rPr>
              <w:t xml:space="preserve">Solomon, G., &amp; Schrum, L. (2007).  </w:t>
            </w:r>
            <w:r w:rsidRPr="00D4354D">
              <w:rPr>
                <w:rFonts w:ascii="Arial" w:hAnsi="Arial" w:cs="Arial"/>
                <w:i/>
              </w:rPr>
              <w:t>Web 2.0  New Tools, New Schools</w:t>
            </w:r>
            <w:r w:rsidRPr="00D4354D">
              <w:rPr>
                <w:rFonts w:ascii="Arial" w:hAnsi="Arial" w:cs="Arial"/>
              </w:rPr>
              <w:t xml:space="preserve">. Eugene, </w:t>
            </w:r>
          </w:p>
          <w:p w:rsidR="00B62F9B" w:rsidRPr="00D4354D" w:rsidRDefault="00B62F9B" w:rsidP="00B62F9B">
            <w:pPr>
              <w:spacing w:after="100" w:line="480" w:lineRule="auto"/>
              <w:rPr>
                <w:rFonts w:ascii="Arial" w:hAnsi="Arial" w:cs="Arial"/>
              </w:rPr>
            </w:pPr>
            <w:r>
              <w:rPr>
                <w:rFonts w:ascii="Arial" w:hAnsi="Arial" w:cs="Arial"/>
              </w:rPr>
              <w:t xml:space="preserve">             </w:t>
            </w:r>
            <w:r w:rsidRPr="00D4354D">
              <w:rPr>
                <w:rFonts w:ascii="Arial" w:hAnsi="Arial" w:cs="Arial"/>
              </w:rPr>
              <w:t xml:space="preserve">Oregon:  ISTE, p. </w:t>
            </w:r>
            <w:r>
              <w:rPr>
                <w:rFonts w:ascii="Arial" w:hAnsi="Arial" w:cs="Arial"/>
              </w:rPr>
              <w:t>12.</w:t>
            </w:r>
            <w:r w:rsidRPr="00D4354D">
              <w:rPr>
                <w:rFonts w:ascii="Arial" w:hAnsi="Arial" w:cs="Arial"/>
              </w:rPr>
              <w:t xml:space="preserve">    .       </w:t>
            </w:r>
          </w:p>
          <w:p w:rsidR="00B62F9B" w:rsidRPr="00C03DA4" w:rsidRDefault="00B62F9B" w:rsidP="00B62F9B">
            <w:pPr>
              <w:spacing w:after="240" w:line="480" w:lineRule="auto"/>
              <w:ind w:left="288" w:hanging="1008"/>
              <w:rPr>
                <w:rFonts w:ascii="Arial" w:eastAsia="Times New Roman" w:hAnsi="Arial" w:cs="Arial"/>
              </w:rPr>
            </w:pPr>
            <w:proofErr w:type="spellStart"/>
            <w:r>
              <w:rPr>
                <w:rFonts w:ascii="Arial" w:hAnsi="Arial" w:cs="Arial"/>
              </w:rPr>
              <w:t>WilliaWilliam</w:t>
            </w:r>
            <w:r w:rsidRPr="00D4354D">
              <w:rPr>
                <w:rFonts w:ascii="Arial" w:hAnsi="Arial" w:cs="Arial"/>
              </w:rPr>
              <w:t>son</w:t>
            </w:r>
            <w:proofErr w:type="spellEnd"/>
            <w:r w:rsidRPr="00D4354D">
              <w:rPr>
                <w:rFonts w:ascii="Arial" w:hAnsi="Arial" w:cs="Arial"/>
              </w:rPr>
              <w:t xml:space="preserve">, Jo and Redish, Traci. (2009).  </w:t>
            </w:r>
            <w:r w:rsidRPr="00D4354D">
              <w:rPr>
                <w:rFonts w:ascii="Arial" w:eastAsia="Times New Roman" w:hAnsi="Arial" w:cs="Arial"/>
              </w:rPr>
              <w:t>Williamson, J. &amp; Redish, T. (2009). Technology Facilitation and Leadership Standards: What Every K-12 Leader Should Know and Be Able To Do. Eugene, OR: International Society for</w:t>
            </w:r>
            <w:r>
              <w:rPr>
                <w:rFonts w:ascii="Arial" w:eastAsia="Times New Roman" w:hAnsi="Arial" w:cs="Arial"/>
              </w:rPr>
              <w:t xml:space="preserve"> Technology in Education,  p. 11, p. 59.</w:t>
            </w:r>
          </w:p>
          <w:p w:rsidR="003C2109" w:rsidRDefault="003C2109" w:rsidP="003C2109">
            <w:pPr>
              <w:spacing w:line="480" w:lineRule="auto"/>
              <w:rPr>
                <w:b/>
                <w:bCs/>
                <w:sz w:val="23"/>
                <w:szCs w:val="23"/>
              </w:rPr>
            </w:pPr>
          </w:p>
        </w:tc>
      </w:tr>
      <w:tr w:rsidR="00B62F9B" w:rsidTr="00B62F9B">
        <w:tc>
          <w:tcPr>
            <w:tcW w:w="2898" w:type="dxa"/>
          </w:tcPr>
          <w:p w:rsidR="00B62F9B" w:rsidRPr="005A458A" w:rsidRDefault="00B62F9B" w:rsidP="007C0338">
            <w:pPr>
              <w:ind w:left="162"/>
              <w:rPr>
                <w:bCs/>
                <w:sz w:val="20"/>
                <w:szCs w:val="20"/>
              </w:rPr>
            </w:pPr>
          </w:p>
        </w:tc>
        <w:tc>
          <w:tcPr>
            <w:tcW w:w="6678" w:type="dxa"/>
          </w:tcPr>
          <w:p w:rsidR="00B62F9B" w:rsidRDefault="00B62F9B" w:rsidP="003C2109">
            <w:pPr>
              <w:pStyle w:val="Default"/>
            </w:pPr>
          </w:p>
        </w:tc>
      </w:tr>
    </w:tbl>
    <w:p w:rsidR="003C2109" w:rsidRDefault="003C2109" w:rsidP="003C2109">
      <w:pPr>
        <w:spacing w:line="480" w:lineRule="auto"/>
        <w:rPr>
          <w:b/>
          <w:bCs/>
          <w:sz w:val="23"/>
          <w:szCs w:val="23"/>
        </w:rPr>
      </w:pPr>
    </w:p>
    <w:p w:rsidR="003C2109" w:rsidRDefault="003C2109" w:rsidP="003C2109">
      <w:pPr>
        <w:spacing w:line="480" w:lineRule="auto"/>
        <w:rPr>
          <w:b/>
          <w:bCs/>
          <w:sz w:val="23"/>
          <w:szCs w:val="23"/>
        </w:rPr>
      </w:pPr>
    </w:p>
    <w:p w:rsidR="003C2109" w:rsidRDefault="003C2109" w:rsidP="003C2109">
      <w:pPr>
        <w:pStyle w:val="Default"/>
      </w:pPr>
    </w:p>
    <w:p w:rsidR="003C2109" w:rsidRDefault="003C2109" w:rsidP="003C2109">
      <w:pPr>
        <w:spacing w:line="480" w:lineRule="auto"/>
      </w:pPr>
    </w:p>
    <w:p w:rsidR="003C2109" w:rsidRDefault="003C2109"/>
    <w:sectPr w:rsidR="003C2109" w:rsidSect="00E508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C2109"/>
    <w:rsid w:val="003C2109"/>
    <w:rsid w:val="003F0032"/>
    <w:rsid w:val="007C0338"/>
    <w:rsid w:val="008A7248"/>
    <w:rsid w:val="00B62F9B"/>
    <w:rsid w:val="00E508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835"/>
  </w:style>
  <w:style w:type="paragraph" w:styleId="Heading3">
    <w:name w:val="heading 3"/>
    <w:basedOn w:val="Normal"/>
    <w:link w:val="Heading3Char"/>
    <w:uiPriority w:val="9"/>
    <w:qFormat/>
    <w:rsid w:val="007C03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21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109"/>
    <w:rPr>
      <w:rFonts w:ascii="Tahoma" w:hAnsi="Tahoma" w:cs="Tahoma"/>
      <w:sz w:val="16"/>
      <w:szCs w:val="16"/>
    </w:rPr>
  </w:style>
  <w:style w:type="paragraph" w:customStyle="1" w:styleId="Default">
    <w:name w:val="Default"/>
    <w:rsid w:val="003C210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C21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7C0338"/>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B62F9B"/>
    <w:rPr>
      <w:color w:val="0000FF" w:themeColor="hyperlink"/>
      <w:u w:val="single"/>
    </w:rPr>
  </w:style>
  <w:style w:type="character" w:customStyle="1" w:styleId="ft">
    <w:name w:val="ft"/>
    <w:basedOn w:val="DefaultParagraphFont"/>
    <w:rsid w:val="00B62F9B"/>
  </w:style>
</w:styles>
</file>

<file path=word/webSettings.xml><?xml version="1.0" encoding="utf-8"?>
<w:webSettings xmlns:r="http://schemas.openxmlformats.org/officeDocument/2006/relationships" xmlns:w="http://schemas.openxmlformats.org/wordprocessingml/2006/main">
  <w:divs>
    <w:div w:id="505096184">
      <w:bodyDiv w:val="1"/>
      <w:marLeft w:val="0"/>
      <w:marRight w:val="0"/>
      <w:marTop w:val="0"/>
      <w:marBottom w:val="0"/>
      <w:divBdr>
        <w:top w:val="none" w:sz="0" w:space="0" w:color="auto"/>
        <w:left w:val="none" w:sz="0" w:space="0" w:color="auto"/>
        <w:bottom w:val="none" w:sz="0" w:space="0" w:color="auto"/>
        <w:right w:val="none" w:sz="0" w:space="0" w:color="auto"/>
      </w:divBdr>
      <w:divsChild>
        <w:div w:id="97145569">
          <w:marLeft w:val="0"/>
          <w:marRight w:val="0"/>
          <w:marTop w:val="0"/>
          <w:marBottom w:val="0"/>
          <w:divBdr>
            <w:top w:val="none" w:sz="0" w:space="0" w:color="auto"/>
            <w:left w:val="none" w:sz="0" w:space="0" w:color="auto"/>
            <w:bottom w:val="none" w:sz="0" w:space="0" w:color="auto"/>
            <w:right w:val="none" w:sz="0" w:space="0" w:color="auto"/>
          </w:divBdr>
          <w:divsChild>
            <w:div w:id="2015834776">
              <w:marLeft w:val="0"/>
              <w:marRight w:val="0"/>
              <w:marTop w:val="0"/>
              <w:marBottom w:val="0"/>
              <w:divBdr>
                <w:top w:val="none" w:sz="0" w:space="0" w:color="auto"/>
                <w:left w:val="none" w:sz="0" w:space="0" w:color="auto"/>
                <w:bottom w:val="none" w:sz="0" w:space="0" w:color="auto"/>
                <w:right w:val="none" w:sz="0" w:space="0" w:color="auto"/>
              </w:divBdr>
              <w:divsChild>
                <w:div w:id="1734506194">
                  <w:marLeft w:val="3420"/>
                  <w:marRight w:val="225"/>
                  <w:marTop w:val="0"/>
                  <w:marBottom w:val="75"/>
                  <w:divBdr>
                    <w:top w:val="none" w:sz="0" w:space="0" w:color="auto"/>
                    <w:left w:val="none" w:sz="0" w:space="0" w:color="auto"/>
                    <w:bottom w:val="none" w:sz="0" w:space="0" w:color="auto"/>
                    <w:right w:val="none" w:sz="0" w:space="0" w:color="auto"/>
                  </w:divBdr>
                  <w:divsChild>
                    <w:div w:id="1106652756">
                      <w:marLeft w:val="0"/>
                      <w:marRight w:val="0"/>
                      <w:marTop w:val="0"/>
                      <w:marBottom w:val="0"/>
                      <w:divBdr>
                        <w:top w:val="none" w:sz="0" w:space="0" w:color="auto"/>
                        <w:left w:val="none" w:sz="0" w:space="0" w:color="auto"/>
                        <w:bottom w:val="none" w:sz="0" w:space="0" w:color="auto"/>
                        <w:right w:val="none" w:sz="0" w:space="0" w:color="auto"/>
                      </w:divBdr>
                      <w:divsChild>
                        <w:div w:id="229460215">
                          <w:marLeft w:val="0"/>
                          <w:marRight w:val="0"/>
                          <w:marTop w:val="0"/>
                          <w:marBottom w:val="0"/>
                          <w:divBdr>
                            <w:top w:val="none" w:sz="0" w:space="0" w:color="auto"/>
                            <w:left w:val="none" w:sz="0" w:space="0" w:color="auto"/>
                            <w:bottom w:val="none" w:sz="0" w:space="0" w:color="auto"/>
                            <w:right w:val="none" w:sz="0" w:space="0" w:color="auto"/>
                          </w:divBdr>
                          <w:divsChild>
                            <w:div w:id="976649242">
                              <w:marLeft w:val="0"/>
                              <w:marRight w:val="0"/>
                              <w:marTop w:val="0"/>
                              <w:marBottom w:val="0"/>
                              <w:divBdr>
                                <w:top w:val="none" w:sz="0" w:space="0" w:color="auto"/>
                                <w:left w:val="none" w:sz="0" w:space="0" w:color="auto"/>
                                <w:bottom w:val="none" w:sz="0" w:space="0" w:color="auto"/>
                                <w:right w:val="none" w:sz="0" w:space="0" w:color="auto"/>
                              </w:divBdr>
                              <w:divsChild>
                                <w:div w:id="131526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net.educause.edu/ir/library/pdf/ELI3009.pdf" TargetMode="Externa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955</Words>
  <Characters>5450</Characters>
  <Application>Microsoft Office Word</Application>
  <DocSecurity>0</DocSecurity>
  <Lines>45</Lines>
  <Paragraphs>12</Paragraphs>
  <ScaleCrop>false</ScaleCrop>
  <Company/>
  <LinksUpToDate>false</LinksUpToDate>
  <CharactersWithSpaces>6393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2012-03-24T20:07:00Z</dcterms:created>
  <dcterms:modified xsi:type="dcterms:W3CDTF">2012-03-24T20:07:00Z</dcterms:modified>
</cp:coreProperties>
</file>